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82"/>
        <w:gridCol w:w="1480"/>
        <w:gridCol w:w="4186"/>
        <w:gridCol w:w="2184"/>
      </w:tblGrid>
      <w:tr>
        <w:tblPrEx>
          <w:shd w:val="clear" w:color="auto" w:fill="bdc0bf"/>
        </w:tblPrEx>
        <w:trPr>
          <w:trHeight w:val="585" w:hRule="atLeast"/>
          <w:tblHeader/>
        </w:trPr>
        <w:tc>
          <w:tcPr>
            <w:tcW w:type="dxa" w:w="17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Writing decisions</w:t>
            </w:r>
          </w:p>
        </w:tc>
        <w:tc>
          <w:tcPr>
            <w:tcW w:type="dxa" w:w="785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Will you write in:</w:t>
            </w:r>
          </w:p>
        </w:tc>
      </w:tr>
      <w:tr>
        <w:tblPrEx>
          <w:shd w:val="clear" w:color="auto" w:fill="auto"/>
        </w:tblPrEx>
        <w:trPr>
          <w:trHeight w:val="894" w:hRule="atLeast"/>
        </w:trPr>
        <w:tc>
          <w:tcPr>
            <w:tcW w:type="dxa" w:w="17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>Person &amp; tense</w:t>
            </w:r>
          </w:p>
        </w:tc>
        <w:tc>
          <w:tcPr>
            <w:tcW w:type="dxa" w:w="7850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</w:rPr>
              <w:t>☐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 xml:space="preserve">1st person            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</w:rPr>
              <w:t xml:space="preserve">☐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 xml:space="preserve">2nd person           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</w:rPr>
              <w:t>☐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>3rd person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</w:rPr>
              <w:t xml:space="preserve">☐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 xml:space="preserve">present tense       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</w:rPr>
              <w:t xml:space="preserve">☐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</w:rPr>
              <w:t>past tense</w:t>
            </w:r>
          </w:p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Opening strategy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:</w:t>
            </w:r>
          </w:p>
        </w:tc>
        <w:tc>
          <w:tcPr>
            <w:tcW w:type="dxa" w:w="56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Notes of d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etail and description in your opening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:</w:t>
            </w:r>
          </w:p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Important vocabulary:</w:t>
            </w:r>
          </w:p>
        </w:tc>
      </w:tr>
      <w:tr>
        <w:tblPrEx>
          <w:shd w:val="clear" w:color="auto" w:fill="auto"/>
        </w:tblPrEx>
        <w:trPr>
          <w:trHeight w:val="1697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56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9" w:hRule="atLeast"/>
        </w:trPr>
        <w:tc>
          <w:tcPr>
            <w:tcW w:type="dxa" w:w="178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Body structure: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chronological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non-chronological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grouped info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alt. perspectives</w:t>
            </w:r>
          </w:p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Detail and description in your body: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Notes (remember that some paragraphs might be only a couple of words or sentences long):</w:t>
            </w:r>
          </w:p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Important vocabulary:</w:t>
            </w:r>
          </w:p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1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2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3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4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5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6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Body Paragraph 7</w:t>
            </w:r>
          </w:p>
        </w:tc>
        <w:tc>
          <w:tcPr>
            <w:tcW w:type="dxa" w:w="4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78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Closing strategy:</w:t>
            </w:r>
          </w:p>
        </w:tc>
        <w:tc>
          <w:tcPr>
            <w:tcW w:type="dxa" w:w="56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Notes of d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etail and description in your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clos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ing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:</w:t>
            </w:r>
          </w:p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Important vocabulary:</w:t>
            </w:r>
          </w:p>
        </w:tc>
      </w:tr>
      <w:tr>
        <w:tblPrEx>
          <w:shd w:val="clear" w:color="auto" w:fill="auto"/>
        </w:tblPrEx>
        <w:trPr>
          <w:trHeight w:val="2533" w:hRule="atLeast"/>
        </w:trPr>
        <w:tc>
          <w:tcPr>
            <w:tcW w:type="dxa" w:w="178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56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100.0pt;height:90.0pt;">
        <v:imagedata r:id="rId2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176" w:hanging="1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